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Pr="008F0ED0" w:rsidRDefault="00BF2B03">
      <w:pPr>
        <w:rPr>
          <w:sz w:val="22"/>
        </w:rPr>
      </w:pPr>
      <w:bookmarkStart w:id="0" w:name="_GoBack"/>
      <w:bookmarkEnd w:id="0"/>
      <w:r w:rsidRPr="008F0ED0">
        <w:rPr>
          <w:sz w:val="22"/>
        </w:rPr>
        <w:t xml:space="preserve">The Board of Hocking County Commissioners met in regular session </w:t>
      </w:r>
      <w:r w:rsidR="0098705B" w:rsidRPr="008F0ED0">
        <w:rPr>
          <w:sz w:val="22"/>
        </w:rPr>
        <w:t>this 20</w:t>
      </w:r>
      <w:r w:rsidR="0098705B" w:rsidRPr="008F0ED0">
        <w:rPr>
          <w:sz w:val="22"/>
          <w:vertAlign w:val="superscript"/>
        </w:rPr>
        <w:t>th</w:t>
      </w:r>
      <w:r w:rsidR="0098705B" w:rsidRPr="008F0ED0">
        <w:rPr>
          <w:sz w:val="22"/>
        </w:rPr>
        <w:t xml:space="preserve"> day of September 2018 with the following members present: Jeff Dickerson, Sandra Ogle and Gary Waugh. </w:t>
      </w:r>
    </w:p>
    <w:p w:rsidR="0098705B" w:rsidRPr="008F0ED0" w:rsidRDefault="0098705B">
      <w:pPr>
        <w:rPr>
          <w:b/>
          <w:sz w:val="22"/>
          <w:u w:val="single"/>
        </w:rPr>
      </w:pPr>
      <w:r w:rsidRPr="008F0ED0">
        <w:rPr>
          <w:b/>
          <w:sz w:val="22"/>
          <w:u w:val="single"/>
        </w:rPr>
        <w:t>MEETING:</w:t>
      </w:r>
      <w:r w:rsidRPr="008F0ED0">
        <w:rPr>
          <w:sz w:val="22"/>
        </w:rPr>
        <w:t xml:space="preserve"> The meeting was called to order by President Dickerson. </w:t>
      </w:r>
      <w:r w:rsidRPr="008F0ED0">
        <w:rPr>
          <w:b/>
          <w:sz w:val="22"/>
          <w:u w:val="single"/>
        </w:rPr>
        <w:t xml:space="preserve"> </w:t>
      </w:r>
    </w:p>
    <w:p w:rsidR="0098705B" w:rsidRPr="008F0ED0" w:rsidRDefault="0098705B">
      <w:pPr>
        <w:rPr>
          <w:sz w:val="22"/>
        </w:rPr>
      </w:pPr>
      <w:r w:rsidRPr="008F0ED0">
        <w:rPr>
          <w:b/>
          <w:sz w:val="22"/>
          <w:u w:val="single"/>
        </w:rPr>
        <w:t>MINUTES:</w:t>
      </w:r>
      <w:r w:rsidRPr="008F0ED0">
        <w:rPr>
          <w:sz w:val="22"/>
        </w:rPr>
        <w:t xml:space="preserve"> Motion by Gary Waugh and seconded by Sandra Ogle to approve. </w:t>
      </w:r>
    </w:p>
    <w:p w:rsidR="0098705B" w:rsidRPr="008F0ED0" w:rsidRDefault="0098705B">
      <w:pPr>
        <w:rPr>
          <w:sz w:val="22"/>
        </w:rPr>
      </w:pPr>
      <w:r w:rsidRPr="008F0ED0">
        <w:rPr>
          <w:sz w:val="22"/>
        </w:rPr>
        <w:t xml:space="preserve">Vote: Ogle, yea, Dickerson, yea, Waugh, yea. </w:t>
      </w:r>
    </w:p>
    <w:p w:rsidR="0098705B" w:rsidRPr="008F0ED0" w:rsidRDefault="0098705B">
      <w:pPr>
        <w:rPr>
          <w:sz w:val="22"/>
        </w:rPr>
      </w:pPr>
      <w:r w:rsidRPr="008F0ED0">
        <w:rPr>
          <w:b/>
          <w:sz w:val="22"/>
          <w:u w:val="single"/>
        </w:rPr>
        <w:t>AGENDA:</w:t>
      </w:r>
      <w:r w:rsidRPr="008F0ED0">
        <w:rPr>
          <w:sz w:val="22"/>
        </w:rPr>
        <w:t xml:space="preserve"> Motion by Gary Waugh and seconded by Sandra Ogle to approve. </w:t>
      </w:r>
    </w:p>
    <w:p w:rsidR="0098705B" w:rsidRPr="008F0ED0" w:rsidRDefault="0098705B">
      <w:pPr>
        <w:rPr>
          <w:sz w:val="22"/>
        </w:rPr>
      </w:pPr>
      <w:r w:rsidRPr="008F0ED0">
        <w:rPr>
          <w:sz w:val="22"/>
        </w:rPr>
        <w:t xml:space="preserve">Vote: Ogle, yea, Dickerson, yea, Waugh, yea. </w:t>
      </w:r>
    </w:p>
    <w:p w:rsidR="00BF2B03" w:rsidRPr="008F0ED0" w:rsidRDefault="0098705B">
      <w:pPr>
        <w:rPr>
          <w:sz w:val="22"/>
        </w:rPr>
      </w:pPr>
      <w:r w:rsidRPr="008F0ED0">
        <w:rPr>
          <w:b/>
          <w:sz w:val="22"/>
          <w:u w:val="single"/>
        </w:rPr>
        <w:t>BILLS:</w:t>
      </w:r>
      <w:r w:rsidRPr="008F0ED0">
        <w:rPr>
          <w:sz w:val="22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98"/>
      </w:tblGrid>
      <w:tr w:rsidR="0098705B" w:rsidRPr="008F0ED0" w:rsidTr="0098705B">
        <w:tc>
          <w:tcPr>
            <w:tcW w:w="3989" w:type="dxa"/>
          </w:tcPr>
          <w:p w:rsidR="0098705B" w:rsidRPr="008F0ED0" w:rsidRDefault="0098705B" w:rsidP="0098705B">
            <w:pPr>
              <w:pStyle w:val="TableHeaders"/>
              <w:rPr>
                <w:sz w:val="22"/>
              </w:rPr>
            </w:pPr>
            <w:r w:rsidRPr="008F0ED0">
              <w:rPr>
                <w:sz w:val="22"/>
              </w:rPr>
              <w:t>Name</w:t>
            </w:r>
          </w:p>
        </w:tc>
        <w:tc>
          <w:tcPr>
            <w:tcW w:w="979" w:type="dxa"/>
          </w:tcPr>
          <w:p w:rsidR="0098705B" w:rsidRPr="008F0ED0" w:rsidRDefault="0098705B" w:rsidP="0098705B">
            <w:pPr>
              <w:pStyle w:val="TableHeaders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No.</w:t>
            </w:r>
          </w:p>
        </w:tc>
        <w:tc>
          <w:tcPr>
            <w:tcW w:w="3514" w:type="dxa"/>
          </w:tcPr>
          <w:p w:rsidR="0098705B" w:rsidRPr="008F0ED0" w:rsidRDefault="0098705B" w:rsidP="0098705B">
            <w:pPr>
              <w:pStyle w:val="TableHeaders"/>
              <w:rPr>
                <w:sz w:val="22"/>
              </w:rPr>
            </w:pPr>
            <w:r w:rsidRPr="008F0ED0">
              <w:rPr>
                <w:sz w:val="22"/>
              </w:rPr>
              <w:t>Purpose</w:t>
            </w:r>
          </w:p>
        </w:tc>
        <w:tc>
          <w:tcPr>
            <w:tcW w:w="1598" w:type="dxa"/>
          </w:tcPr>
          <w:p w:rsidR="0098705B" w:rsidRPr="008F0ED0" w:rsidRDefault="0098705B" w:rsidP="0098705B">
            <w:pPr>
              <w:pStyle w:val="TableHeaders"/>
              <w:jc w:val="right"/>
              <w:rPr>
                <w:sz w:val="22"/>
              </w:rPr>
            </w:pPr>
            <w:r w:rsidRPr="008F0ED0">
              <w:rPr>
                <w:sz w:val="22"/>
              </w:rPr>
              <w:t>Amount</w:t>
            </w:r>
          </w:p>
        </w:tc>
      </w:tr>
      <w:tr w:rsidR="0098705B" w:rsidRPr="008F0ED0" w:rsidTr="0098705B">
        <w:tc>
          <w:tcPr>
            <w:tcW w:w="3989" w:type="dxa"/>
          </w:tcPr>
          <w:p w:rsidR="0098705B" w:rsidRPr="008F0ED0" w:rsidRDefault="008C1B8D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Brian Davis</w:t>
            </w:r>
          </w:p>
        </w:tc>
        <w:tc>
          <w:tcPr>
            <w:tcW w:w="979" w:type="dxa"/>
          </w:tcPr>
          <w:p w:rsidR="0098705B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3082</w:t>
            </w:r>
          </w:p>
        </w:tc>
        <w:tc>
          <w:tcPr>
            <w:tcW w:w="3514" w:type="dxa"/>
          </w:tcPr>
          <w:p w:rsidR="0098705B" w:rsidRPr="008F0ED0" w:rsidRDefault="008C1B8D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Service – 911 </w:t>
            </w:r>
          </w:p>
        </w:tc>
        <w:tc>
          <w:tcPr>
            <w:tcW w:w="1598" w:type="dxa"/>
          </w:tcPr>
          <w:p w:rsidR="0098705B" w:rsidRPr="008F0ED0" w:rsidRDefault="008C1B8D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837.50</w:t>
            </w:r>
          </w:p>
        </w:tc>
      </w:tr>
      <w:tr w:rsidR="008C1B8D" w:rsidRPr="008F0ED0" w:rsidTr="0098705B">
        <w:tc>
          <w:tcPr>
            <w:tcW w:w="3989" w:type="dxa"/>
          </w:tcPr>
          <w:p w:rsidR="008C1B8D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Diane Sargent</w:t>
            </w:r>
          </w:p>
        </w:tc>
        <w:tc>
          <w:tcPr>
            <w:tcW w:w="979" w:type="dxa"/>
          </w:tcPr>
          <w:p w:rsidR="008C1B8D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3083</w:t>
            </w:r>
          </w:p>
        </w:tc>
        <w:tc>
          <w:tcPr>
            <w:tcW w:w="3514" w:type="dxa"/>
          </w:tcPr>
          <w:p w:rsidR="008C1B8D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Travel to legislative meeting – Treasurer</w:t>
            </w:r>
          </w:p>
        </w:tc>
        <w:tc>
          <w:tcPr>
            <w:tcW w:w="1598" w:type="dxa"/>
          </w:tcPr>
          <w:p w:rsidR="008C1B8D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73.03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Step Detect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3084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Drug tests and supplies – Juvenile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945.00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Ohio Department of Youth Services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3085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Reimbursement to </w:t>
            </w:r>
            <w:proofErr w:type="spellStart"/>
            <w:r w:rsidRPr="008F0ED0">
              <w:rPr>
                <w:sz w:val="22"/>
              </w:rPr>
              <w:t>dys</w:t>
            </w:r>
            <w:proofErr w:type="spellEnd"/>
            <w:r w:rsidRPr="008F0ED0">
              <w:rPr>
                <w:sz w:val="22"/>
              </w:rPr>
              <w:t xml:space="preserve"> – Juvenile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414.52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Various Vendors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3086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Recovery supports – Municipal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20.70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Various Vendors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3087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Recovery supports – Municipal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230.74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Hocking County Municipal Court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3088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Drug screen reimbursement to the court – Addiction Treatment Project 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4520.50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Hopewell Health Centers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3089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Treatment costs for ATP – Addiction Treatment Project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18,654.85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Hopewell Health Centers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3090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Treatment costs for ATP clients – Addiction Treatment Project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20,858.22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proofErr w:type="spellStart"/>
            <w:r w:rsidRPr="008F0ED0">
              <w:rPr>
                <w:sz w:val="22"/>
              </w:rPr>
              <w:t>TASC</w:t>
            </w:r>
            <w:proofErr w:type="spellEnd"/>
            <w:r w:rsidRPr="008F0ED0">
              <w:rPr>
                <w:sz w:val="22"/>
              </w:rPr>
              <w:t xml:space="preserve"> of Southeast Ohio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3091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Counseling, groups, individuals and admin costs – Addiction Treatment Project 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7508.58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B Davis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3092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Door locks for 911 bld. – 911 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445.00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Gordon Flesch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3093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Copies – Commissioners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13.53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Rose Marshall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3094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Travel reimbursement – Commissioners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54.50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proofErr w:type="spellStart"/>
            <w:r w:rsidRPr="008F0ED0">
              <w:rPr>
                <w:sz w:val="22"/>
              </w:rPr>
              <w:t>BHM</w:t>
            </w:r>
            <w:proofErr w:type="spellEnd"/>
            <w:r w:rsidRPr="008F0ED0">
              <w:rPr>
                <w:sz w:val="22"/>
              </w:rPr>
              <w:t xml:space="preserve"> CPA Group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3095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2017 GAAP Reporting – Auditor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16575.00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Office City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3096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Supplies – Auditor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21.28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Lewellens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3097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Service – Comm. Courthouse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37.00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Pitney Bowes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3098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Pitney Bowes lease payment – Comm. Courthouse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2706.03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ADT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3099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Security services for Sheriff – Comm. Courthouse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58.59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ComDoc Leasing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3100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Lease payments for copier – Sheriff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101.1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Treasurer State of Ohio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3101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proofErr w:type="spellStart"/>
            <w:r w:rsidRPr="008F0ED0">
              <w:rPr>
                <w:sz w:val="22"/>
              </w:rPr>
              <w:t>BCMH</w:t>
            </w:r>
            <w:proofErr w:type="spellEnd"/>
            <w:r w:rsidRPr="008F0ED0">
              <w:rPr>
                <w:sz w:val="22"/>
              </w:rPr>
              <w:t xml:space="preserve"> 2018 – Commissioners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5237.21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Save A Lot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3102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Food vouchers for 2018 – Vets. 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1340.44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Amazon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3103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Cyber power 750va UPS – Drafting Department 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77.95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Various Vendors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3104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Public Defender – Commissioners</w:t>
            </w:r>
          </w:p>
        </w:tc>
        <w:tc>
          <w:tcPr>
            <w:tcW w:w="1598" w:type="dxa"/>
          </w:tcPr>
          <w:p w:rsidR="00AB2D0C" w:rsidRPr="008F0ED0" w:rsidRDefault="00AB2D0C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7741.75</w:t>
            </w:r>
          </w:p>
        </w:tc>
      </w:tr>
      <w:tr w:rsidR="00AB2D0C" w:rsidRPr="008F0ED0" w:rsidTr="0098705B">
        <w:tc>
          <w:tcPr>
            <w:tcW w:w="3989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ComDoc</w:t>
            </w:r>
          </w:p>
        </w:tc>
        <w:tc>
          <w:tcPr>
            <w:tcW w:w="979" w:type="dxa"/>
          </w:tcPr>
          <w:p w:rsidR="00AB2D0C" w:rsidRPr="008F0ED0" w:rsidRDefault="00AB2D0C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3105</w:t>
            </w:r>
          </w:p>
        </w:tc>
        <w:tc>
          <w:tcPr>
            <w:tcW w:w="3514" w:type="dxa"/>
          </w:tcPr>
          <w:p w:rsidR="00AB2D0C" w:rsidRPr="008F0ED0" w:rsidRDefault="00AB2D0C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Monthly </w:t>
            </w:r>
            <w:r w:rsidR="00000E3B" w:rsidRPr="008F0ED0">
              <w:rPr>
                <w:sz w:val="22"/>
              </w:rPr>
              <w:t xml:space="preserve">maintenance on copier – </w:t>
            </w:r>
            <w:proofErr w:type="spellStart"/>
            <w:r w:rsidR="00000E3B" w:rsidRPr="008F0ED0">
              <w:rPr>
                <w:sz w:val="22"/>
              </w:rPr>
              <w:t>Treasuere</w:t>
            </w:r>
            <w:proofErr w:type="spellEnd"/>
          </w:p>
        </w:tc>
        <w:tc>
          <w:tcPr>
            <w:tcW w:w="1598" w:type="dxa"/>
          </w:tcPr>
          <w:p w:rsidR="00AB2D0C" w:rsidRPr="008F0ED0" w:rsidRDefault="00000E3B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30.60</w:t>
            </w:r>
          </w:p>
        </w:tc>
      </w:tr>
      <w:tr w:rsidR="00000E3B" w:rsidRPr="008F0ED0" w:rsidTr="0098705B">
        <w:tc>
          <w:tcPr>
            <w:tcW w:w="3989" w:type="dxa"/>
          </w:tcPr>
          <w:p w:rsidR="00000E3B" w:rsidRPr="008F0ED0" w:rsidRDefault="00000E3B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Madison Energy Cooperative</w:t>
            </w:r>
          </w:p>
        </w:tc>
        <w:tc>
          <w:tcPr>
            <w:tcW w:w="979" w:type="dxa"/>
          </w:tcPr>
          <w:p w:rsidR="00000E3B" w:rsidRPr="008F0ED0" w:rsidRDefault="00000E3B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3106</w:t>
            </w:r>
          </w:p>
        </w:tc>
        <w:tc>
          <w:tcPr>
            <w:tcW w:w="3514" w:type="dxa"/>
          </w:tcPr>
          <w:p w:rsidR="00000E3B" w:rsidRPr="008F0ED0" w:rsidRDefault="00000E3B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Service – Dog and Kennel</w:t>
            </w:r>
          </w:p>
        </w:tc>
        <w:tc>
          <w:tcPr>
            <w:tcW w:w="1598" w:type="dxa"/>
          </w:tcPr>
          <w:p w:rsidR="00000E3B" w:rsidRPr="008F0ED0" w:rsidRDefault="00000E3B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14.00</w:t>
            </w:r>
          </w:p>
        </w:tc>
      </w:tr>
      <w:tr w:rsidR="00000E3B" w:rsidRPr="008F0ED0" w:rsidTr="0098705B">
        <w:tc>
          <w:tcPr>
            <w:tcW w:w="3989" w:type="dxa"/>
          </w:tcPr>
          <w:p w:rsidR="00000E3B" w:rsidRPr="008F0ED0" w:rsidRDefault="00000E3B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Josh Givens</w:t>
            </w:r>
          </w:p>
        </w:tc>
        <w:tc>
          <w:tcPr>
            <w:tcW w:w="979" w:type="dxa"/>
          </w:tcPr>
          <w:p w:rsidR="00000E3B" w:rsidRPr="008F0ED0" w:rsidRDefault="00000E3B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3107</w:t>
            </w:r>
          </w:p>
        </w:tc>
        <w:tc>
          <w:tcPr>
            <w:tcW w:w="3514" w:type="dxa"/>
          </w:tcPr>
          <w:p w:rsidR="00000E3B" w:rsidRPr="008F0ED0" w:rsidRDefault="00000E3B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Travel – Lodging Tax </w:t>
            </w:r>
          </w:p>
        </w:tc>
        <w:tc>
          <w:tcPr>
            <w:tcW w:w="1598" w:type="dxa"/>
          </w:tcPr>
          <w:p w:rsidR="00000E3B" w:rsidRPr="008F0ED0" w:rsidRDefault="00000E3B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50.22</w:t>
            </w:r>
          </w:p>
        </w:tc>
      </w:tr>
      <w:tr w:rsidR="00000E3B" w:rsidRPr="008F0ED0" w:rsidTr="0098705B">
        <w:tc>
          <w:tcPr>
            <w:tcW w:w="3989" w:type="dxa"/>
          </w:tcPr>
          <w:p w:rsidR="00000E3B" w:rsidRPr="008F0ED0" w:rsidRDefault="00000E3B" w:rsidP="0098705B">
            <w:pPr>
              <w:pStyle w:val="Table"/>
              <w:rPr>
                <w:sz w:val="22"/>
              </w:rPr>
            </w:pPr>
            <w:proofErr w:type="spellStart"/>
            <w:r w:rsidRPr="008F0ED0">
              <w:rPr>
                <w:sz w:val="22"/>
              </w:rPr>
              <w:t>OJAFCC</w:t>
            </w:r>
            <w:proofErr w:type="spellEnd"/>
          </w:p>
        </w:tc>
        <w:tc>
          <w:tcPr>
            <w:tcW w:w="979" w:type="dxa"/>
          </w:tcPr>
          <w:p w:rsidR="00000E3B" w:rsidRPr="008F0ED0" w:rsidRDefault="00000E3B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3108</w:t>
            </w:r>
          </w:p>
        </w:tc>
        <w:tc>
          <w:tcPr>
            <w:tcW w:w="3514" w:type="dxa"/>
          </w:tcPr>
          <w:p w:rsidR="00000E3B" w:rsidRPr="008F0ED0" w:rsidRDefault="00000E3B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Conference – Municipal </w:t>
            </w:r>
          </w:p>
        </w:tc>
        <w:tc>
          <w:tcPr>
            <w:tcW w:w="1598" w:type="dxa"/>
          </w:tcPr>
          <w:p w:rsidR="00000E3B" w:rsidRPr="008F0ED0" w:rsidRDefault="00000E3B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225.00</w:t>
            </w:r>
          </w:p>
        </w:tc>
      </w:tr>
      <w:tr w:rsidR="00000E3B" w:rsidRPr="008F0ED0" w:rsidTr="0098705B">
        <w:tc>
          <w:tcPr>
            <w:tcW w:w="3989" w:type="dxa"/>
          </w:tcPr>
          <w:p w:rsidR="00000E3B" w:rsidRPr="008F0ED0" w:rsidRDefault="00000E3B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lastRenderedPageBreak/>
              <w:t>Jenkins Auto Glass</w:t>
            </w:r>
          </w:p>
        </w:tc>
        <w:tc>
          <w:tcPr>
            <w:tcW w:w="979" w:type="dxa"/>
          </w:tcPr>
          <w:p w:rsidR="00000E3B" w:rsidRPr="008F0ED0" w:rsidRDefault="00000E3B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3109</w:t>
            </w:r>
          </w:p>
        </w:tc>
        <w:tc>
          <w:tcPr>
            <w:tcW w:w="3514" w:type="dxa"/>
          </w:tcPr>
          <w:p w:rsidR="00000E3B" w:rsidRPr="008F0ED0" w:rsidRDefault="00000E3B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Window tint – Sheriff </w:t>
            </w:r>
          </w:p>
        </w:tc>
        <w:tc>
          <w:tcPr>
            <w:tcW w:w="1598" w:type="dxa"/>
          </w:tcPr>
          <w:p w:rsidR="00000E3B" w:rsidRPr="008F0ED0" w:rsidRDefault="00000E3B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200.00</w:t>
            </w:r>
          </w:p>
        </w:tc>
      </w:tr>
      <w:tr w:rsidR="00000E3B" w:rsidRPr="008F0ED0" w:rsidTr="0098705B">
        <w:tc>
          <w:tcPr>
            <w:tcW w:w="3989" w:type="dxa"/>
          </w:tcPr>
          <w:p w:rsidR="00000E3B" w:rsidRPr="008F0ED0" w:rsidRDefault="00000E3B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Xerox</w:t>
            </w:r>
          </w:p>
        </w:tc>
        <w:tc>
          <w:tcPr>
            <w:tcW w:w="979" w:type="dxa"/>
          </w:tcPr>
          <w:p w:rsidR="00000E3B" w:rsidRPr="008F0ED0" w:rsidRDefault="00000E3B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3110</w:t>
            </w:r>
          </w:p>
        </w:tc>
        <w:tc>
          <w:tcPr>
            <w:tcW w:w="3514" w:type="dxa"/>
          </w:tcPr>
          <w:p w:rsidR="00000E3B" w:rsidRPr="008F0ED0" w:rsidRDefault="00000E3B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Copier lease and service </w:t>
            </w:r>
          </w:p>
        </w:tc>
        <w:tc>
          <w:tcPr>
            <w:tcW w:w="1598" w:type="dxa"/>
          </w:tcPr>
          <w:p w:rsidR="00000E3B" w:rsidRPr="008F0ED0" w:rsidRDefault="00000E3B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98.92</w:t>
            </w:r>
          </w:p>
        </w:tc>
      </w:tr>
      <w:tr w:rsidR="00000E3B" w:rsidRPr="008F0ED0" w:rsidTr="0098705B">
        <w:tc>
          <w:tcPr>
            <w:tcW w:w="3989" w:type="dxa"/>
          </w:tcPr>
          <w:p w:rsidR="00000E3B" w:rsidRPr="008F0ED0" w:rsidRDefault="00000E3B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Thomson Renters West Payment </w:t>
            </w:r>
          </w:p>
        </w:tc>
        <w:tc>
          <w:tcPr>
            <w:tcW w:w="979" w:type="dxa"/>
          </w:tcPr>
          <w:p w:rsidR="00000E3B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3111</w:t>
            </w:r>
          </w:p>
        </w:tc>
        <w:tc>
          <w:tcPr>
            <w:tcW w:w="3514" w:type="dxa"/>
          </w:tcPr>
          <w:p w:rsidR="00000E3B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Books and online research service </w:t>
            </w:r>
          </w:p>
        </w:tc>
        <w:tc>
          <w:tcPr>
            <w:tcW w:w="1598" w:type="dxa"/>
          </w:tcPr>
          <w:p w:rsidR="00000E3B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265.07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Thomson Renters West Payment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3112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Books and online research service 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929.88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Thomson Renters West Payment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3113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Books and online research services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1603.45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Dan Loomis Electrical 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3114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Removal and replace kitchen cabinets countertops – SHSC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8650.00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Baileys Painting and drywall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3115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Painting for Treasurer’s Office – Commissioners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800.00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USA Bluebook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3116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Testing supplies – Sewer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2612.40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MASI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3117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Testing – Sewer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26.70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Jackson Brothers Construction Inc.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3118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113,455.23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Various Vendors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3119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Recovery supports – Addiction Treatment Project 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500.00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B. Davis 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3120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Repairs -  911 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400.00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AUF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3121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Drug screens – 911 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58.90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Office City Express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3122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Office supplies – SHSC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8.49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ComDoc Leasing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3123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Xerox copier lease – SHSC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391.35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Lee’s Detail Shop, LLC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3124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Auto cleaning and detail – SHSC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25.00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Laurelville Water Service 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3125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Monthly water service – SHSC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28.56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KFC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3126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Senior day at fair – SHSC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925.00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United Way of Hocking County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3127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proofErr w:type="spellStart"/>
            <w:r w:rsidRPr="008F0ED0">
              <w:rPr>
                <w:sz w:val="22"/>
              </w:rPr>
              <w:t>Untied</w:t>
            </w:r>
            <w:proofErr w:type="spellEnd"/>
            <w:r w:rsidRPr="008F0ED0">
              <w:rPr>
                <w:sz w:val="22"/>
              </w:rPr>
              <w:t xml:space="preserve"> Way Campaign – SHSC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175.00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proofErr w:type="spellStart"/>
            <w:r w:rsidRPr="008F0ED0">
              <w:rPr>
                <w:sz w:val="22"/>
              </w:rPr>
              <w:t>Glalcier</w:t>
            </w:r>
            <w:proofErr w:type="spellEnd"/>
            <w:r w:rsidRPr="008F0ED0">
              <w:rPr>
                <w:sz w:val="22"/>
              </w:rPr>
              <w:t xml:space="preserve"> Mountain Bottled Water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3128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Monthly water fee – Prosecutor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37.00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Total ID Solutions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3129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Ribbon and lamination for </w:t>
            </w:r>
            <w:proofErr w:type="spellStart"/>
            <w:r w:rsidRPr="008F0ED0">
              <w:rPr>
                <w:sz w:val="22"/>
              </w:rPr>
              <w:t>CCW</w:t>
            </w:r>
            <w:proofErr w:type="spellEnd"/>
            <w:r w:rsidRPr="008F0ED0">
              <w:rPr>
                <w:sz w:val="22"/>
              </w:rPr>
              <w:t xml:space="preserve"> </w:t>
            </w:r>
            <w:proofErr w:type="spellStart"/>
            <w:r w:rsidRPr="008F0ED0">
              <w:rPr>
                <w:sz w:val="22"/>
              </w:rPr>
              <w:t>ZXP</w:t>
            </w:r>
            <w:proofErr w:type="spellEnd"/>
            <w:r w:rsidRPr="008F0ED0">
              <w:rPr>
                <w:sz w:val="22"/>
              </w:rPr>
              <w:t xml:space="preserve"> machine – Sheriff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1441.00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OHM Advisors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3130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Hydraulic study at intersection 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7260.00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proofErr w:type="spellStart"/>
            <w:r w:rsidRPr="008F0ED0">
              <w:rPr>
                <w:sz w:val="22"/>
              </w:rPr>
              <w:t>Mebulbs</w:t>
            </w:r>
            <w:proofErr w:type="spellEnd"/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3131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Light bulbs for garage 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730.65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Madison Energy Cooperative 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3132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Service 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17.70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Cintas First Aid and </w:t>
            </w:r>
            <w:proofErr w:type="spellStart"/>
            <w:r w:rsidRPr="008F0ED0">
              <w:rPr>
                <w:sz w:val="22"/>
              </w:rPr>
              <w:t>Safetu</w:t>
            </w:r>
            <w:proofErr w:type="spellEnd"/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3133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 xml:space="preserve">First aid and medical supplies </w:t>
            </w: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75.64</w:t>
            </w:r>
          </w:p>
        </w:tc>
      </w:tr>
      <w:tr w:rsidR="00970689" w:rsidRPr="008F0ED0" w:rsidTr="0098705B">
        <w:tc>
          <w:tcPr>
            <w:tcW w:w="3989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  <w:r w:rsidRPr="008F0ED0">
              <w:rPr>
                <w:sz w:val="22"/>
              </w:rPr>
              <w:t>Edwards Shut Metal</w:t>
            </w:r>
          </w:p>
        </w:tc>
        <w:tc>
          <w:tcPr>
            <w:tcW w:w="979" w:type="dxa"/>
          </w:tcPr>
          <w:p w:rsidR="00970689" w:rsidRPr="008F0ED0" w:rsidRDefault="00970689" w:rsidP="0098705B">
            <w:pPr>
              <w:pStyle w:val="Table"/>
              <w:jc w:val="center"/>
              <w:rPr>
                <w:sz w:val="22"/>
              </w:rPr>
            </w:pPr>
            <w:r w:rsidRPr="008F0ED0">
              <w:rPr>
                <w:sz w:val="22"/>
              </w:rPr>
              <w:t>3134</w:t>
            </w:r>
          </w:p>
        </w:tc>
        <w:tc>
          <w:tcPr>
            <w:tcW w:w="3514" w:type="dxa"/>
          </w:tcPr>
          <w:p w:rsidR="00970689" w:rsidRPr="008F0ED0" w:rsidRDefault="00970689" w:rsidP="0098705B">
            <w:pPr>
              <w:pStyle w:val="Table"/>
              <w:rPr>
                <w:sz w:val="22"/>
              </w:rPr>
            </w:pPr>
          </w:p>
        </w:tc>
        <w:tc>
          <w:tcPr>
            <w:tcW w:w="1598" w:type="dxa"/>
          </w:tcPr>
          <w:p w:rsidR="00970689" w:rsidRPr="008F0ED0" w:rsidRDefault="00970689" w:rsidP="0098705B">
            <w:pPr>
              <w:pStyle w:val="Table"/>
              <w:jc w:val="right"/>
              <w:rPr>
                <w:sz w:val="22"/>
              </w:rPr>
            </w:pPr>
            <w:r w:rsidRPr="008F0ED0">
              <w:rPr>
                <w:sz w:val="22"/>
              </w:rPr>
              <w:t>2124.50</w:t>
            </w:r>
          </w:p>
        </w:tc>
      </w:tr>
    </w:tbl>
    <w:p w:rsidR="00BF2B03" w:rsidRPr="008F0ED0" w:rsidRDefault="0098705B">
      <w:pPr>
        <w:rPr>
          <w:sz w:val="22"/>
        </w:rPr>
      </w:pPr>
      <w:r w:rsidRPr="008F0ED0">
        <w:rPr>
          <w:sz w:val="22"/>
        </w:rPr>
        <w:t xml:space="preserve">Motion by Sandra Ogle and seconded by Gary Waugh to approve. </w:t>
      </w:r>
    </w:p>
    <w:p w:rsidR="0098705B" w:rsidRPr="008F0ED0" w:rsidRDefault="0098705B" w:rsidP="0098705B">
      <w:pPr>
        <w:rPr>
          <w:sz w:val="22"/>
        </w:rPr>
      </w:pPr>
      <w:r w:rsidRPr="008F0ED0">
        <w:rPr>
          <w:sz w:val="22"/>
        </w:rPr>
        <w:t xml:space="preserve">Vote: Ogle, yea, Dickerson, yea, Waugh, yea. </w:t>
      </w:r>
    </w:p>
    <w:p w:rsidR="00AD4E51" w:rsidRPr="008F0ED0" w:rsidRDefault="00AD4E51" w:rsidP="0098705B">
      <w:pPr>
        <w:rPr>
          <w:b/>
          <w:sz w:val="22"/>
          <w:u w:val="single"/>
        </w:rPr>
      </w:pPr>
      <w:r w:rsidRPr="008F0ED0">
        <w:rPr>
          <w:b/>
          <w:sz w:val="22"/>
          <w:u w:val="single"/>
        </w:rPr>
        <w:t>APPROPRIATION TRANSFER:</w:t>
      </w:r>
    </w:p>
    <w:p w:rsidR="00AD4E51" w:rsidRPr="008F0ED0" w:rsidRDefault="00AD4E51" w:rsidP="0098705B">
      <w:pPr>
        <w:rPr>
          <w:sz w:val="22"/>
        </w:rPr>
      </w:pPr>
      <w:r w:rsidRPr="008F0ED0">
        <w:rPr>
          <w:sz w:val="22"/>
        </w:rPr>
        <w:t>9-1-1</w:t>
      </w:r>
      <w:r w:rsidRPr="008F0ED0">
        <w:rPr>
          <w:sz w:val="22"/>
        </w:rPr>
        <w:tab/>
        <w:t>-</w:t>
      </w:r>
      <w:r w:rsidRPr="008F0ED0">
        <w:rPr>
          <w:sz w:val="22"/>
        </w:rPr>
        <w:tab/>
        <w:t xml:space="preserve">$1000 from S21-03 equipment to S21-05 contracts </w:t>
      </w:r>
    </w:p>
    <w:p w:rsidR="00AD4E51" w:rsidRPr="008F0ED0" w:rsidRDefault="00AD4E51" w:rsidP="0098705B">
      <w:pPr>
        <w:rPr>
          <w:sz w:val="22"/>
        </w:rPr>
      </w:pPr>
      <w:r w:rsidRPr="008F0ED0">
        <w:rPr>
          <w:sz w:val="22"/>
        </w:rPr>
        <w:t xml:space="preserve">Motion by Gary Waugh and seconded by Sandra Ogle to approve. </w:t>
      </w:r>
    </w:p>
    <w:p w:rsidR="00AD4E51" w:rsidRPr="008F0ED0" w:rsidRDefault="00AD4E51" w:rsidP="0098705B">
      <w:pPr>
        <w:rPr>
          <w:sz w:val="22"/>
        </w:rPr>
      </w:pPr>
      <w:r w:rsidRPr="008F0ED0">
        <w:rPr>
          <w:sz w:val="22"/>
        </w:rPr>
        <w:t xml:space="preserve">Vote: Ogle, yea, Dickerson, yea, Waugh, yea. </w:t>
      </w:r>
    </w:p>
    <w:p w:rsidR="00AD4E51" w:rsidRPr="008F0ED0" w:rsidRDefault="00AD4E51" w:rsidP="0098705B">
      <w:pPr>
        <w:rPr>
          <w:b/>
          <w:sz w:val="22"/>
          <w:u w:val="single"/>
        </w:rPr>
      </w:pPr>
      <w:r w:rsidRPr="008F0ED0">
        <w:rPr>
          <w:b/>
          <w:sz w:val="22"/>
          <w:u w:val="single"/>
        </w:rPr>
        <w:t>ADVANCE:</w:t>
      </w:r>
    </w:p>
    <w:p w:rsidR="00AD4E51" w:rsidRPr="008F0ED0" w:rsidRDefault="00AD4E51" w:rsidP="0098705B">
      <w:pPr>
        <w:rPr>
          <w:sz w:val="22"/>
        </w:rPr>
      </w:pPr>
      <w:r w:rsidRPr="008F0ED0">
        <w:rPr>
          <w:sz w:val="22"/>
        </w:rPr>
        <w:t xml:space="preserve">Sheriff </w:t>
      </w:r>
      <w:r w:rsidRPr="008F0ED0">
        <w:rPr>
          <w:sz w:val="22"/>
        </w:rPr>
        <w:tab/>
        <w:t>-</w:t>
      </w:r>
      <w:r w:rsidRPr="008F0ED0">
        <w:rPr>
          <w:sz w:val="22"/>
        </w:rPr>
        <w:tab/>
        <w:t>001 $12,000.00 050</w:t>
      </w:r>
    </w:p>
    <w:p w:rsidR="00AD4E51" w:rsidRPr="008F0ED0" w:rsidRDefault="00AD4E51" w:rsidP="0098705B">
      <w:pPr>
        <w:rPr>
          <w:sz w:val="22"/>
        </w:rPr>
      </w:pPr>
      <w:r w:rsidRPr="008F0ED0">
        <w:rPr>
          <w:sz w:val="22"/>
        </w:rPr>
        <w:t xml:space="preserve">Motion by Gary Waugh and seconded by Sandra Ogle to approve. </w:t>
      </w:r>
    </w:p>
    <w:p w:rsidR="00AD4E51" w:rsidRPr="008F0ED0" w:rsidRDefault="00AD4E51" w:rsidP="00AD4E51">
      <w:pPr>
        <w:rPr>
          <w:sz w:val="22"/>
        </w:rPr>
      </w:pPr>
      <w:r w:rsidRPr="008F0ED0">
        <w:rPr>
          <w:sz w:val="22"/>
        </w:rPr>
        <w:t xml:space="preserve">Vote: Ogle, yea, Dickerson, yea, Waugh, yea. </w:t>
      </w:r>
    </w:p>
    <w:p w:rsidR="00AD4E51" w:rsidRPr="008F0ED0" w:rsidRDefault="00AD4E51" w:rsidP="0098705B">
      <w:pPr>
        <w:rPr>
          <w:b/>
          <w:sz w:val="22"/>
          <w:u w:val="single"/>
        </w:rPr>
      </w:pPr>
      <w:r w:rsidRPr="008F0ED0">
        <w:rPr>
          <w:b/>
          <w:sz w:val="22"/>
          <w:u w:val="single"/>
        </w:rPr>
        <w:t>ADDITIONAL APPROPRIATION:</w:t>
      </w:r>
    </w:p>
    <w:p w:rsidR="00AD4E51" w:rsidRPr="008F0ED0" w:rsidRDefault="00AD4E51" w:rsidP="0098705B">
      <w:pPr>
        <w:rPr>
          <w:sz w:val="22"/>
        </w:rPr>
      </w:pPr>
      <w:r w:rsidRPr="008F0ED0">
        <w:rPr>
          <w:sz w:val="22"/>
        </w:rPr>
        <w:t>Sheriff</w:t>
      </w:r>
      <w:r w:rsidRPr="008F0ED0">
        <w:rPr>
          <w:sz w:val="22"/>
        </w:rPr>
        <w:tab/>
      </w:r>
      <w:r w:rsidRPr="008F0ED0">
        <w:rPr>
          <w:sz w:val="22"/>
        </w:rPr>
        <w:tab/>
        <w:t>-</w:t>
      </w:r>
      <w:r w:rsidRPr="008F0ED0">
        <w:rPr>
          <w:sz w:val="22"/>
        </w:rPr>
        <w:tab/>
        <w:t>School Resource Officer SS50-01 $12,000.00</w:t>
      </w:r>
    </w:p>
    <w:p w:rsidR="00AD4E51" w:rsidRPr="008F0ED0" w:rsidRDefault="00AD4E51" w:rsidP="0098705B">
      <w:pPr>
        <w:rPr>
          <w:sz w:val="22"/>
        </w:rPr>
      </w:pPr>
      <w:r w:rsidRPr="008F0ED0">
        <w:rPr>
          <w:sz w:val="22"/>
        </w:rPr>
        <w:t xml:space="preserve">Motion by Gary Waugh and seconded by Sandra Ogle to approve. </w:t>
      </w:r>
    </w:p>
    <w:p w:rsidR="00AD4E51" w:rsidRPr="008F0ED0" w:rsidRDefault="00AD4E51" w:rsidP="00AD4E51">
      <w:pPr>
        <w:rPr>
          <w:sz w:val="22"/>
        </w:rPr>
      </w:pPr>
      <w:r w:rsidRPr="008F0ED0">
        <w:rPr>
          <w:sz w:val="22"/>
        </w:rPr>
        <w:t xml:space="preserve">Vote: Ogle, yea, Dickerson, yea, Waugh, yea. </w:t>
      </w:r>
    </w:p>
    <w:p w:rsidR="00AD4E51" w:rsidRPr="008F0ED0" w:rsidRDefault="009454AA" w:rsidP="0098705B">
      <w:pPr>
        <w:rPr>
          <w:b/>
          <w:sz w:val="22"/>
          <w:u w:val="single"/>
        </w:rPr>
      </w:pPr>
      <w:r w:rsidRPr="008F0ED0">
        <w:rPr>
          <w:b/>
          <w:sz w:val="22"/>
          <w:u w:val="single"/>
        </w:rPr>
        <w:t>ENGINEER:</w:t>
      </w:r>
    </w:p>
    <w:p w:rsidR="009454AA" w:rsidRPr="008F0ED0" w:rsidRDefault="009454AA" w:rsidP="0098705B">
      <w:pPr>
        <w:rPr>
          <w:sz w:val="22"/>
        </w:rPr>
      </w:pPr>
      <w:r w:rsidRPr="008F0ED0">
        <w:rPr>
          <w:sz w:val="22"/>
        </w:rPr>
        <w:lastRenderedPageBreak/>
        <w:t xml:space="preserve">Commissioner Ogle read an application for approval of underground construction on Hocking County right of way 16524 Log Home Road. </w:t>
      </w:r>
    </w:p>
    <w:p w:rsidR="009454AA" w:rsidRPr="008F0ED0" w:rsidRDefault="009454AA" w:rsidP="0098705B">
      <w:pPr>
        <w:rPr>
          <w:sz w:val="22"/>
        </w:rPr>
      </w:pPr>
      <w:r w:rsidRPr="008F0ED0">
        <w:rPr>
          <w:sz w:val="22"/>
        </w:rPr>
        <w:t xml:space="preserve">Motion by Gary Waugh and seconded by Sandra Ogle to approve. </w:t>
      </w:r>
    </w:p>
    <w:p w:rsidR="009454AA" w:rsidRPr="008F0ED0" w:rsidRDefault="009454AA" w:rsidP="009454AA">
      <w:pPr>
        <w:rPr>
          <w:sz w:val="22"/>
        </w:rPr>
      </w:pPr>
      <w:r w:rsidRPr="008F0ED0">
        <w:rPr>
          <w:sz w:val="22"/>
        </w:rPr>
        <w:t xml:space="preserve">Vote: Ogle, yea, Dickerson, yea, Waugh, yea. </w:t>
      </w:r>
    </w:p>
    <w:p w:rsidR="009454AA" w:rsidRPr="008F0ED0" w:rsidRDefault="009454AA" w:rsidP="0098705B">
      <w:pPr>
        <w:rPr>
          <w:b/>
          <w:sz w:val="22"/>
          <w:u w:val="single"/>
        </w:rPr>
      </w:pPr>
      <w:r w:rsidRPr="008F0ED0">
        <w:rPr>
          <w:b/>
          <w:sz w:val="22"/>
          <w:u w:val="single"/>
        </w:rPr>
        <w:t>CARBON HILL SEWER PROJECT:</w:t>
      </w:r>
    </w:p>
    <w:p w:rsidR="009454AA" w:rsidRPr="008F0ED0" w:rsidRDefault="009454AA" w:rsidP="0098705B">
      <w:pPr>
        <w:rPr>
          <w:sz w:val="22"/>
        </w:rPr>
      </w:pPr>
      <w:r w:rsidRPr="008F0ED0">
        <w:rPr>
          <w:sz w:val="22"/>
        </w:rPr>
        <w:t xml:space="preserve">Commissioner Ogle read a cooperative agreement with </w:t>
      </w:r>
      <w:proofErr w:type="spellStart"/>
      <w:r w:rsidRPr="008F0ED0">
        <w:rPr>
          <w:sz w:val="22"/>
        </w:rPr>
        <w:t>OWDA</w:t>
      </w:r>
      <w:proofErr w:type="spellEnd"/>
      <w:r w:rsidRPr="008F0ED0">
        <w:rPr>
          <w:sz w:val="22"/>
        </w:rPr>
        <w:t xml:space="preserve"> for construction, maintenance and operation of state water project or wastewater project for Carbon Hill. This agreement is requested from the </w:t>
      </w:r>
      <w:proofErr w:type="spellStart"/>
      <w:r w:rsidRPr="008F0ED0">
        <w:rPr>
          <w:sz w:val="22"/>
        </w:rPr>
        <w:t>OWDA</w:t>
      </w:r>
      <w:proofErr w:type="spellEnd"/>
      <w:r w:rsidRPr="008F0ED0">
        <w:rPr>
          <w:sz w:val="22"/>
        </w:rPr>
        <w:t xml:space="preserve"> </w:t>
      </w:r>
      <w:proofErr w:type="spellStart"/>
      <w:r w:rsidRPr="008F0ED0">
        <w:rPr>
          <w:sz w:val="22"/>
        </w:rPr>
        <w:t>Unsewered</w:t>
      </w:r>
      <w:proofErr w:type="spellEnd"/>
      <w:r w:rsidRPr="008F0ED0">
        <w:rPr>
          <w:sz w:val="22"/>
        </w:rPr>
        <w:t xml:space="preserve"> Areas Grant Funds, with no repayment terms. </w:t>
      </w:r>
    </w:p>
    <w:p w:rsidR="009454AA" w:rsidRPr="008F0ED0" w:rsidRDefault="009454AA" w:rsidP="0098705B">
      <w:pPr>
        <w:rPr>
          <w:sz w:val="22"/>
        </w:rPr>
      </w:pPr>
      <w:r w:rsidRPr="008F0ED0">
        <w:rPr>
          <w:sz w:val="22"/>
        </w:rPr>
        <w:t xml:space="preserve">Motion by Gary Waugh and seconded by Sandra Ogle to approve. </w:t>
      </w:r>
    </w:p>
    <w:p w:rsidR="009454AA" w:rsidRPr="008F0ED0" w:rsidRDefault="009454AA" w:rsidP="009454AA">
      <w:pPr>
        <w:rPr>
          <w:sz w:val="22"/>
        </w:rPr>
      </w:pPr>
      <w:r w:rsidRPr="008F0ED0">
        <w:rPr>
          <w:sz w:val="22"/>
        </w:rPr>
        <w:t xml:space="preserve">Roll Call Vote: Ogle, yea, Dickerson, yea, Waugh, yea. </w:t>
      </w:r>
    </w:p>
    <w:p w:rsidR="009454AA" w:rsidRPr="008F0ED0" w:rsidRDefault="009454AA" w:rsidP="009454AA">
      <w:pPr>
        <w:rPr>
          <w:sz w:val="22"/>
        </w:rPr>
      </w:pPr>
      <w:r w:rsidRPr="008F0ED0">
        <w:rPr>
          <w:sz w:val="22"/>
        </w:rPr>
        <w:t xml:space="preserve">Commissioner Waugh read a resolution authorizing the Hocking County Commissioners to apply for accept and enter into a cooperative agreement for construction of Carbon Hill Sanitary Sewer Improvements Project between the Hocking County Commissioners and the Ohio Water Development Authority and declaring an emergency. </w:t>
      </w:r>
    </w:p>
    <w:p w:rsidR="009454AA" w:rsidRPr="008F0ED0" w:rsidRDefault="009454AA" w:rsidP="009454AA">
      <w:pPr>
        <w:rPr>
          <w:sz w:val="22"/>
        </w:rPr>
      </w:pPr>
      <w:r w:rsidRPr="008F0ED0">
        <w:rPr>
          <w:sz w:val="22"/>
        </w:rPr>
        <w:t xml:space="preserve">Motion by Gary Waugh and seconded by Sandra Ogle to approve. </w:t>
      </w:r>
    </w:p>
    <w:p w:rsidR="009454AA" w:rsidRPr="008F0ED0" w:rsidRDefault="009454AA" w:rsidP="009454AA">
      <w:pPr>
        <w:rPr>
          <w:sz w:val="22"/>
        </w:rPr>
      </w:pPr>
      <w:r w:rsidRPr="008F0ED0">
        <w:rPr>
          <w:sz w:val="22"/>
        </w:rPr>
        <w:t xml:space="preserve">Vote: Ogle, yea, Dickerson, yea, Waugh, yea. </w:t>
      </w:r>
    </w:p>
    <w:p w:rsidR="00362FAC" w:rsidRPr="008F0ED0" w:rsidRDefault="00362FAC" w:rsidP="009454AA">
      <w:pPr>
        <w:rPr>
          <w:sz w:val="22"/>
        </w:rPr>
      </w:pPr>
      <w:r w:rsidRPr="008F0ED0">
        <w:rPr>
          <w:sz w:val="22"/>
        </w:rPr>
        <w:t xml:space="preserve">Commissioner Ogle read the loan agreement for Carbon Hill </w:t>
      </w:r>
      <w:r w:rsidR="0055732D" w:rsidRPr="008F0ED0">
        <w:rPr>
          <w:sz w:val="22"/>
        </w:rPr>
        <w:t xml:space="preserve">Sewer Facility </w:t>
      </w:r>
      <w:r w:rsidRPr="008F0ED0">
        <w:rPr>
          <w:sz w:val="22"/>
        </w:rPr>
        <w:t>in the amount of $501,750.00</w:t>
      </w:r>
    </w:p>
    <w:p w:rsidR="009454AA" w:rsidRPr="008F0ED0" w:rsidRDefault="00CD2DC8" w:rsidP="0098705B">
      <w:pPr>
        <w:rPr>
          <w:sz w:val="22"/>
        </w:rPr>
      </w:pPr>
      <w:r w:rsidRPr="008F0ED0">
        <w:rPr>
          <w:sz w:val="22"/>
        </w:rPr>
        <w:t xml:space="preserve">Motion by Gary Waugh and seconded by Sandra Ogle for President of Board to sign. </w:t>
      </w:r>
    </w:p>
    <w:p w:rsidR="00CD2DC8" w:rsidRPr="008F0ED0" w:rsidRDefault="00CD2DC8" w:rsidP="00CD2DC8">
      <w:pPr>
        <w:rPr>
          <w:sz w:val="22"/>
        </w:rPr>
      </w:pPr>
      <w:r w:rsidRPr="008F0ED0">
        <w:rPr>
          <w:sz w:val="22"/>
        </w:rPr>
        <w:t xml:space="preserve">Roll Call Vote: Ogle, yea, Dickerson, yea, Waugh, yea. </w:t>
      </w:r>
    </w:p>
    <w:p w:rsidR="00CD2DC8" w:rsidRPr="008F0ED0" w:rsidRDefault="00CD2DC8" w:rsidP="0098705B">
      <w:pPr>
        <w:rPr>
          <w:b/>
          <w:sz w:val="22"/>
          <w:u w:val="single"/>
        </w:rPr>
      </w:pPr>
      <w:r w:rsidRPr="008F0ED0">
        <w:rPr>
          <w:b/>
          <w:sz w:val="22"/>
          <w:u w:val="single"/>
        </w:rPr>
        <w:t>GENERAL BUSINESS:</w:t>
      </w:r>
    </w:p>
    <w:p w:rsidR="00CD2DC8" w:rsidRPr="008F0ED0" w:rsidRDefault="00CD2DC8" w:rsidP="0098705B">
      <w:pPr>
        <w:rPr>
          <w:sz w:val="22"/>
        </w:rPr>
      </w:pPr>
      <w:r w:rsidRPr="008F0ED0">
        <w:rPr>
          <w:sz w:val="22"/>
        </w:rPr>
        <w:t>Motion by Sandra Ogle and seconded by Gary</w:t>
      </w:r>
      <w:r w:rsidR="00212125" w:rsidRPr="008F0ED0">
        <w:rPr>
          <w:sz w:val="22"/>
        </w:rPr>
        <w:t xml:space="preserve"> Waugh for Brian to take Josh and</w:t>
      </w:r>
      <w:r w:rsidRPr="008F0ED0">
        <w:rPr>
          <w:sz w:val="22"/>
        </w:rPr>
        <w:t xml:space="preserve"> pick up the Sewer Department truck in Columbus. </w:t>
      </w:r>
    </w:p>
    <w:p w:rsidR="00CD2DC8" w:rsidRPr="008F0ED0" w:rsidRDefault="00CD2DC8" w:rsidP="00CD2DC8">
      <w:pPr>
        <w:rPr>
          <w:sz w:val="22"/>
        </w:rPr>
      </w:pPr>
      <w:r w:rsidRPr="008F0ED0">
        <w:rPr>
          <w:sz w:val="22"/>
        </w:rPr>
        <w:t xml:space="preserve">Vote: Ogle, yea, Dickerson, yea, Waugh, yea. </w:t>
      </w:r>
    </w:p>
    <w:p w:rsidR="00CD2DC8" w:rsidRPr="008F0ED0" w:rsidRDefault="00CD2DC8" w:rsidP="0098705B">
      <w:pPr>
        <w:rPr>
          <w:sz w:val="22"/>
        </w:rPr>
      </w:pPr>
      <w:r w:rsidRPr="008F0ED0">
        <w:rPr>
          <w:sz w:val="22"/>
        </w:rPr>
        <w:t xml:space="preserve">Motion by Gary Waugh and seconded by Sandra Ogle to </w:t>
      </w:r>
      <w:r w:rsidR="00212125" w:rsidRPr="008F0ED0">
        <w:rPr>
          <w:sz w:val="22"/>
        </w:rPr>
        <w:t>approve new vacuum for</w:t>
      </w:r>
      <w:r w:rsidRPr="008F0ED0">
        <w:rPr>
          <w:sz w:val="22"/>
        </w:rPr>
        <w:t xml:space="preserve"> </w:t>
      </w:r>
      <w:r w:rsidR="00212125" w:rsidRPr="008F0ED0">
        <w:rPr>
          <w:sz w:val="22"/>
        </w:rPr>
        <w:t>Youth Center.</w:t>
      </w:r>
    </w:p>
    <w:p w:rsidR="00CD2DC8" w:rsidRPr="008F0ED0" w:rsidRDefault="00CD2DC8" w:rsidP="00CD2DC8">
      <w:pPr>
        <w:rPr>
          <w:sz w:val="22"/>
        </w:rPr>
      </w:pPr>
      <w:r w:rsidRPr="008F0ED0">
        <w:rPr>
          <w:sz w:val="22"/>
        </w:rPr>
        <w:t xml:space="preserve">Vote: Ogle, yea, Dickerson, yea, Waugh, yea. </w:t>
      </w:r>
    </w:p>
    <w:p w:rsidR="00212125" w:rsidRPr="008F0ED0" w:rsidRDefault="00212125" w:rsidP="0098705B">
      <w:pPr>
        <w:rPr>
          <w:sz w:val="22"/>
        </w:rPr>
      </w:pPr>
      <w:r w:rsidRPr="008F0ED0">
        <w:rPr>
          <w:sz w:val="22"/>
        </w:rPr>
        <w:t xml:space="preserve">Commissioner Ogle read an email from DD requesting additional time to submit budget due to the Board of DD not meeting until October 16. </w:t>
      </w:r>
    </w:p>
    <w:p w:rsidR="00AD4E51" w:rsidRPr="008F0ED0" w:rsidRDefault="00CD2DC8" w:rsidP="0098705B">
      <w:pPr>
        <w:rPr>
          <w:sz w:val="22"/>
        </w:rPr>
      </w:pPr>
      <w:r w:rsidRPr="008F0ED0">
        <w:rPr>
          <w:sz w:val="22"/>
        </w:rPr>
        <w:t xml:space="preserve">Motion by Sandra Ogle and seconded by Gary Waugh to allow Board of DD more time on budget. </w:t>
      </w:r>
    </w:p>
    <w:p w:rsidR="00CD2DC8" w:rsidRPr="008F0ED0" w:rsidRDefault="00CD2DC8" w:rsidP="00CD2DC8">
      <w:pPr>
        <w:rPr>
          <w:sz w:val="22"/>
        </w:rPr>
      </w:pPr>
      <w:r w:rsidRPr="008F0ED0">
        <w:rPr>
          <w:sz w:val="22"/>
        </w:rPr>
        <w:t xml:space="preserve">Vote: Ogle, yea, Dickerson, yea, Waugh, yea. </w:t>
      </w:r>
    </w:p>
    <w:p w:rsidR="00CD2DC8" w:rsidRPr="008F0ED0" w:rsidRDefault="00CD2DC8" w:rsidP="0098705B">
      <w:pPr>
        <w:rPr>
          <w:sz w:val="22"/>
        </w:rPr>
      </w:pPr>
      <w:r w:rsidRPr="008F0ED0">
        <w:rPr>
          <w:sz w:val="22"/>
        </w:rPr>
        <w:t>Motion by Gary Waugh and seconded by Sandra Ogle to have flu shots in the Commissioners Office October 4</w:t>
      </w:r>
      <w:r w:rsidR="00D44DF2" w:rsidRPr="008F0ED0">
        <w:rPr>
          <w:sz w:val="22"/>
        </w:rPr>
        <w:t>, 2018</w:t>
      </w:r>
      <w:r w:rsidRPr="008F0ED0">
        <w:rPr>
          <w:sz w:val="22"/>
        </w:rPr>
        <w:t xml:space="preserve"> 1-3pm.</w:t>
      </w:r>
    </w:p>
    <w:p w:rsidR="00CD2DC8" w:rsidRPr="008F0ED0" w:rsidRDefault="00CD2DC8" w:rsidP="00CD2DC8">
      <w:pPr>
        <w:rPr>
          <w:sz w:val="22"/>
        </w:rPr>
      </w:pPr>
      <w:r w:rsidRPr="008F0ED0">
        <w:rPr>
          <w:sz w:val="22"/>
        </w:rPr>
        <w:t xml:space="preserve">Vote: Ogle, yea, Dickerson, yea, Waugh, yea. </w:t>
      </w:r>
    </w:p>
    <w:p w:rsidR="00CD2DC8" w:rsidRPr="008F0ED0" w:rsidRDefault="00CD2DC8" w:rsidP="00CD2DC8">
      <w:pPr>
        <w:rPr>
          <w:sz w:val="22"/>
        </w:rPr>
      </w:pPr>
      <w:r w:rsidRPr="008F0ED0">
        <w:rPr>
          <w:sz w:val="22"/>
        </w:rPr>
        <w:t xml:space="preserve">Motion by Gary Waugh and seconded by Sandra Ogle to dispose of </w:t>
      </w:r>
      <w:r w:rsidR="000E0658" w:rsidRPr="008F0ED0">
        <w:rPr>
          <w:sz w:val="22"/>
        </w:rPr>
        <w:t xml:space="preserve">rack of </w:t>
      </w:r>
      <w:r w:rsidRPr="008F0ED0">
        <w:rPr>
          <w:sz w:val="22"/>
        </w:rPr>
        <w:t xml:space="preserve">wooden tables at </w:t>
      </w:r>
      <w:r w:rsidR="00D44DF2" w:rsidRPr="008F0ED0">
        <w:rPr>
          <w:sz w:val="22"/>
        </w:rPr>
        <w:t>Youth Cente</w:t>
      </w:r>
      <w:r w:rsidR="000E0658" w:rsidRPr="008F0ED0">
        <w:rPr>
          <w:sz w:val="22"/>
        </w:rPr>
        <w:t>r</w:t>
      </w:r>
      <w:r w:rsidRPr="008F0ED0">
        <w:rPr>
          <w:sz w:val="22"/>
        </w:rPr>
        <w:t xml:space="preserve">. </w:t>
      </w:r>
    </w:p>
    <w:p w:rsidR="00CD2DC8" w:rsidRPr="008F0ED0" w:rsidRDefault="00CD2DC8" w:rsidP="00CD2DC8">
      <w:pPr>
        <w:rPr>
          <w:sz w:val="22"/>
        </w:rPr>
      </w:pPr>
      <w:r w:rsidRPr="008F0ED0">
        <w:rPr>
          <w:sz w:val="22"/>
        </w:rPr>
        <w:t xml:space="preserve">Vote: Ogle, yea, Dickerson, yea, Waugh, yea. </w:t>
      </w:r>
    </w:p>
    <w:p w:rsidR="00CD2DC8" w:rsidRPr="008F0ED0" w:rsidRDefault="00CD2DC8" w:rsidP="0098705B">
      <w:pPr>
        <w:rPr>
          <w:b/>
          <w:sz w:val="22"/>
          <w:u w:val="single"/>
        </w:rPr>
      </w:pPr>
      <w:r w:rsidRPr="008F0ED0">
        <w:rPr>
          <w:b/>
          <w:sz w:val="22"/>
          <w:u w:val="single"/>
        </w:rPr>
        <w:t>SCOTT VERMILLION:</w:t>
      </w:r>
    </w:p>
    <w:p w:rsidR="00CD2DC8" w:rsidRPr="008F0ED0" w:rsidRDefault="00CD2DC8" w:rsidP="0098705B">
      <w:pPr>
        <w:rPr>
          <w:sz w:val="22"/>
        </w:rPr>
      </w:pPr>
      <w:r w:rsidRPr="008F0ED0">
        <w:rPr>
          <w:sz w:val="22"/>
        </w:rPr>
        <w:t xml:space="preserve">Mr. Vermillion, Hocking County Fair Board, presented plaques to each commissioner for sponsoring Senior Day at the 2018 fair. </w:t>
      </w:r>
    </w:p>
    <w:p w:rsidR="00CD2DC8" w:rsidRPr="008F0ED0" w:rsidRDefault="001A5911" w:rsidP="0098705B">
      <w:pPr>
        <w:rPr>
          <w:sz w:val="22"/>
        </w:rPr>
      </w:pPr>
      <w:r w:rsidRPr="008F0ED0">
        <w:rPr>
          <w:sz w:val="22"/>
        </w:rPr>
        <w:t xml:space="preserve">Sue Morgan asked what the net profit was. Mr. Vermillion said they do not know yet. Ms. Morgan </w:t>
      </w:r>
      <w:r w:rsidR="00534EF3" w:rsidRPr="008F0ED0">
        <w:rPr>
          <w:sz w:val="22"/>
        </w:rPr>
        <w:t xml:space="preserve">said the reason she asked is because she knew the sold beer there. Mr. Vermillion and the commissioners said no, no beer was sold at the fair. </w:t>
      </w:r>
    </w:p>
    <w:p w:rsidR="00CD2DC8" w:rsidRPr="008F0ED0" w:rsidRDefault="00CD2DC8" w:rsidP="0098705B">
      <w:pPr>
        <w:rPr>
          <w:b/>
          <w:sz w:val="22"/>
          <w:u w:val="single"/>
        </w:rPr>
      </w:pPr>
      <w:r w:rsidRPr="008F0ED0">
        <w:rPr>
          <w:b/>
          <w:sz w:val="22"/>
          <w:u w:val="single"/>
        </w:rPr>
        <w:lastRenderedPageBreak/>
        <w:t>PUBLIC COMMENT:</w:t>
      </w:r>
    </w:p>
    <w:p w:rsidR="00CD2DC8" w:rsidRPr="008F0ED0" w:rsidRDefault="00CD2DC8" w:rsidP="0098705B">
      <w:pPr>
        <w:rPr>
          <w:sz w:val="22"/>
        </w:rPr>
      </w:pPr>
      <w:r w:rsidRPr="008F0ED0">
        <w:rPr>
          <w:sz w:val="22"/>
        </w:rPr>
        <w:t xml:space="preserve">Sue Morgan thanked the commissioner for clarifying that there was no </w:t>
      </w:r>
      <w:r w:rsidR="00D25C7B" w:rsidRPr="008F0ED0">
        <w:rPr>
          <w:sz w:val="22"/>
        </w:rPr>
        <w:t xml:space="preserve">beer </w:t>
      </w:r>
      <w:r w:rsidRPr="008F0ED0">
        <w:rPr>
          <w:sz w:val="22"/>
        </w:rPr>
        <w:t xml:space="preserve">sold at the fair. </w:t>
      </w:r>
    </w:p>
    <w:p w:rsidR="00CD2DC8" w:rsidRPr="008F0ED0" w:rsidRDefault="00CD2DC8" w:rsidP="0098705B">
      <w:pPr>
        <w:rPr>
          <w:b/>
          <w:sz w:val="22"/>
          <w:u w:val="single"/>
        </w:rPr>
      </w:pPr>
      <w:r w:rsidRPr="008F0ED0">
        <w:rPr>
          <w:b/>
          <w:sz w:val="22"/>
          <w:u w:val="single"/>
        </w:rPr>
        <w:t>POLICY MANUAL COMMITTEE:</w:t>
      </w:r>
    </w:p>
    <w:p w:rsidR="00CD2DC8" w:rsidRPr="008F0ED0" w:rsidRDefault="00CD2DC8" w:rsidP="0098705B">
      <w:pPr>
        <w:rPr>
          <w:sz w:val="22"/>
        </w:rPr>
      </w:pPr>
      <w:r w:rsidRPr="008F0ED0">
        <w:rPr>
          <w:sz w:val="22"/>
        </w:rPr>
        <w:t xml:space="preserve">Motion by Sandra Ogle and seconded by Gary Waugh to </w:t>
      </w:r>
      <w:r w:rsidR="000E0658" w:rsidRPr="008F0ED0">
        <w:rPr>
          <w:sz w:val="22"/>
        </w:rPr>
        <w:t>form committee</w:t>
      </w:r>
      <w:r w:rsidR="0072187A" w:rsidRPr="008F0ED0">
        <w:rPr>
          <w:sz w:val="22"/>
        </w:rPr>
        <w:t xml:space="preserve"> with the prosecutor, Ken Wilson, Sandra Ogle, Sandra Leach and Sharon Edwards</w:t>
      </w:r>
      <w:r w:rsidR="000E0658" w:rsidRPr="008F0ED0">
        <w:rPr>
          <w:sz w:val="22"/>
        </w:rPr>
        <w:t xml:space="preserve"> for </w:t>
      </w:r>
      <w:r w:rsidR="0072187A" w:rsidRPr="008F0ED0">
        <w:rPr>
          <w:sz w:val="22"/>
        </w:rPr>
        <w:t xml:space="preserve">the </w:t>
      </w:r>
      <w:r w:rsidR="000E0658" w:rsidRPr="008F0ED0">
        <w:rPr>
          <w:sz w:val="22"/>
        </w:rPr>
        <w:t xml:space="preserve">employee policy manual. </w:t>
      </w:r>
      <w:r w:rsidRPr="008F0ED0">
        <w:rPr>
          <w:sz w:val="22"/>
        </w:rPr>
        <w:t xml:space="preserve"> </w:t>
      </w:r>
    </w:p>
    <w:p w:rsidR="00CD2DC8" w:rsidRPr="008F0ED0" w:rsidRDefault="0072187A" w:rsidP="0098705B">
      <w:pPr>
        <w:rPr>
          <w:sz w:val="22"/>
        </w:rPr>
      </w:pPr>
      <w:r w:rsidRPr="008F0ED0">
        <w:rPr>
          <w:sz w:val="22"/>
        </w:rPr>
        <w:t xml:space="preserve">President Dickerson commented none of the policy will be accepted until approved by legal counsel. </w:t>
      </w:r>
    </w:p>
    <w:p w:rsidR="00CD2DC8" w:rsidRPr="008F0ED0" w:rsidRDefault="00CD2DC8" w:rsidP="00CD2DC8">
      <w:pPr>
        <w:rPr>
          <w:sz w:val="22"/>
        </w:rPr>
      </w:pPr>
      <w:r w:rsidRPr="008F0ED0">
        <w:rPr>
          <w:sz w:val="22"/>
        </w:rPr>
        <w:t xml:space="preserve">Vote: Ogle, yea, Dickerson, yea, Waugh, yea. </w:t>
      </w:r>
    </w:p>
    <w:p w:rsidR="00CD2DC8" w:rsidRPr="008F0ED0" w:rsidRDefault="00CD2DC8" w:rsidP="0098705B">
      <w:pPr>
        <w:rPr>
          <w:b/>
          <w:sz w:val="22"/>
          <w:u w:val="single"/>
        </w:rPr>
      </w:pPr>
      <w:r w:rsidRPr="008F0ED0">
        <w:rPr>
          <w:b/>
          <w:sz w:val="22"/>
          <w:u w:val="single"/>
        </w:rPr>
        <w:t>PUBLIC COMMENT:</w:t>
      </w:r>
    </w:p>
    <w:p w:rsidR="00CD2DC8" w:rsidRPr="008F0ED0" w:rsidRDefault="00CD2DC8" w:rsidP="0098705B">
      <w:pPr>
        <w:rPr>
          <w:sz w:val="22"/>
        </w:rPr>
      </w:pPr>
      <w:r w:rsidRPr="008F0ED0">
        <w:rPr>
          <w:sz w:val="22"/>
        </w:rPr>
        <w:t xml:space="preserve">There was discussion between Jim Kalklosch and Sue Morgan regarding the wooden tables located at the Youth Center. </w:t>
      </w:r>
    </w:p>
    <w:p w:rsidR="00CD2DC8" w:rsidRPr="008F0ED0" w:rsidRDefault="00CD2DC8" w:rsidP="0098705B">
      <w:pPr>
        <w:rPr>
          <w:sz w:val="22"/>
        </w:rPr>
      </w:pPr>
      <w:r w:rsidRPr="008F0ED0">
        <w:rPr>
          <w:sz w:val="22"/>
        </w:rPr>
        <w:t xml:space="preserve">President Dickerson requested the clerk check with Brian and </w:t>
      </w:r>
      <w:r w:rsidR="0072187A" w:rsidRPr="008F0ED0">
        <w:rPr>
          <w:sz w:val="22"/>
        </w:rPr>
        <w:t xml:space="preserve">township </w:t>
      </w:r>
      <w:r w:rsidRPr="008F0ED0">
        <w:rPr>
          <w:sz w:val="22"/>
        </w:rPr>
        <w:t xml:space="preserve">trustees regarding the tables. </w:t>
      </w:r>
    </w:p>
    <w:p w:rsidR="00CD2DC8" w:rsidRPr="008F0ED0" w:rsidRDefault="00CD2DC8" w:rsidP="0098705B">
      <w:pPr>
        <w:rPr>
          <w:sz w:val="22"/>
        </w:rPr>
      </w:pPr>
      <w:r w:rsidRPr="008F0ED0">
        <w:rPr>
          <w:sz w:val="22"/>
        </w:rPr>
        <w:t xml:space="preserve">ADJOURNMENT Motion by Gary Waugh and seconded by Sandra Ogle to approve. </w:t>
      </w:r>
    </w:p>
    <w:p w:rsidR="0098705B" w:rsidRPr="008F0ED0" w:rsidRDefault="00CD2DC8">
      <w:pPr>
        <w:rPr>
          <w:sz w:val="22"/>
        </w:rPr>
      </w:pPr>
      <w:r w:rsidRPr="008F0ED0">
        <w:rPr>
          <w:sz w:val="22"/>
        </w:rPr>
        <w:t xml:space="preserve">Vote: Ogle, yea, Dickerson, yea, Waugh, yea. All yea, motion carried.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98705B" w:rsidRPr="008F0ED0" w:rsidTr="0098705B">
        <w:tc>
          <w:tcPr>
            <w:tcW w:w="8640" w:type="dxa"/>
          </w:tcPr>
          <w:p w:rsidR="0098705B" w:rsidRPr="008F0ED0" w:rsidRDefault="0098705B" w:rsidP="0098705B">
            <w:pPr>
              <w:pStyle w:val="Table"/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8705B" w:rsidRPr="008F0ED0" w:rsidRDefault="0098705B" w:rsidP="0098705B">
            <w:pPr>
              <w:pStyle w:val="Table"/>
              <w:jc w:val="right"/>
              <w:rPr>
                <w:b/>
                <w:sz w:val="22"/>
              </w:rPr>
            </w:pPr>
          </w:p>
        </w:tc>
      </w:tr>
    </w:tbl>
    <w:p w:rsidR="0098705B" w:rsidRPr="008F0ED0" w:rsidRDefault="0098705B">
      <w:pPr>
        <w:rPr>
          <w:sz w:val="22"/>
        </w:rPr>
      </w:pP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834"/>
        <w:gridCol w:w="4595"/>
      </w:tblGrid>
      <w:tr w:rsidR="00977855" w:rsidRPr="008F0ED0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8F0ED0" w:rsidRDefault="00977855">
            <w:pPr>
              <w:pStyle w:val="Signatures"/>
              <w:rPr>
                <w:sz w:val="22"/>
              </w:rPr>
            </w:pPr>
          </w:p>
        </w:tc>
        <w:tc>
          <w:tcPr>
            <w:tcW w:w="895" w:type="dxa"/>
          </w:tcPr>
          <w:p w:rsidR="00977855" w:rsidRPr="008F0ED0" w:rsidRDefault="00977855">
            <w:pPr>
              <w:pStyle w:val="Signatures"/>
              <w:rPr>
                <w:sz w:val="22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8F0ED0" w:rsidRDefault="00977855">
            <w:pPr>
              <w:pStyle w:val="Signatures"/>
              <w:rPr>
                <w:sz w:val="22"/>
              </w:rPr>
            </w:pPr>
          </w:p>
        </w:tc>
      </w:tr>
      <w:tr w:rsidR="00977855" w:rsidRPr="008F0ED0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8F0ED0" w:rsidRDefault="00BF1A0F">
            <w:pPr>
              <w:pStyle w:val="Signatures"/>
              <w:rPr>
                <w:sz w:val="22"/>
              </w:rPr>
            </w:pPr>
            <w:r w:rsidRPr="008F0ED0">
              <w:rPr>
                <w:sz w:val="22"/>
              </w:rPr>
              <w:t>Rose Marshall</w:t>
            </w:r>
            <w:r w:rsidR="00977855" w:rsidRPr="008F0ED0">
              <w:rPr>
                <w:sz w:val="22"/>
              </w:rPr>
              <w:t>, Clerk</w:t>
            </w:r>
          </w:p>
        </w:tc>
        <w:tc>
          <w:tcPr>
            <w:tcW w:w="895" w:type="dxa"/>
          </w:tcPr>
          <w:p w:rsidR="00977855" w:rsidRPr="008F0ED0" w:rsidRDefault="00977855">
            <w:pPr>
              <w:pStyle w:val="Signatures"/>
              <w:rPr>
                <w:sz w:val="22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8F0ED0" w:rsidRDefault="00977855">
            <w:pPr>
              <w:pStyle w:val="Signatures"/>
              <w:rPr>
                <w:sz w:val="22"/>
              </w:rPr>
            </w:pPr>
          </w:p>
        </w:tc>
      </w:tr>
      <w:tr w:rsidR="00977855" w:rsidRPr="008F0ED0" w:rsidTr="00977855">
        <w:trPr>
          <w:trHeight w:val="576"/>
        </w:trPr>
        <w:tc>
          <w:tcPr>
            <w:tcW w:w="4678" w:type="dxa"/>
          </w:tcPr>
          <w:p w:rsidR="00977855" w:rsidRPr="008F0ED0" w:rsidRDefault="00977855">
            <w:pPr>
              <w:pStyle w:val="Signatures"/>
              <w:rPr>
                <w:sz w:val="22"/>
              </w:rPr>
            </w:pPr>
          </w:p>
        </w:tc>
        <w:tc>
          <w:tcPr>
            <w:tcW w:w="895" w:type="dxa"/>
          </w:tcPr>
          <w:p w:rsidR="00977855" w:rsidRPr="008F0ED0" w:rsidRDefault="00977855">
            <w:pPr>
              <w:pStyle w:val="Signatures"/>
              <w:rPr>
                <w:sz w:val="22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8F0ED0" w:rsidRDefault="00977855">
            <w:pPr>
              <w:pStyle w:val="Signatures"/>
              <w:rPr>
                <w:sz w:val="22"/>
              </w:rPr>
            </w:pPr>
          </w:p>
        </w:tc>
      </w:tr>
      <w:tr w:rsidR="00977855" w:rsidRPr="008F0ED0" w:rsidTr="00977855">
        <w:tc>
          <w:tcPr>
            <w:tcW w:w="4678" w:type="dxa"/>
          </w:tcPr>
          <w:p w:rsidR="00977855" w:rsidRPr="008F0ED0" w:rsidRDefault="00977855">
            <w:pPr>
              <w:pStyle w:val="Signatures"/>
              <w:rPr>
                <w:sz w:val="22"/>
              </w:rPr>
            </w:pPr>
          </w:p>
        </w:tc>
        <w:tc>
          <w:tcPr>
            <w:tcW w:w="895" w:type="dxa"/>
          </w:tcPr>
          <w:p w:rsidR="00977855" w:rsidRPr="008F0ED0" w:rsidRDefault="00977855">
            <w:pPr>
              <w:pStyle w:val="Signatures"/>
              <w:rPr>
                <w:sz w:val="22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8F0ED0" w:rsidRDefault="00977855">
            <w:pPr>
              <w:pStyle w:val="Signatures"/>
              <w:rPr>
                <w:sz w:val="22"/>
              </w:rPr>
            </w:pPr>
            <w:r w:rsidRPr="008F0ED0">
              <w:rPr>
                <w:sz w:val="22"/>
              </w:rPr>
              <w:t>Board of Hocking County Commissioners</w:t>
            </w:r>
          </w:p>
        </w:tc>
      </w:tr>
      <w:tr w:rsidR="00977855" w:rsidRPr="008F0ED0" w:rsidTr="00977855">
        <w:tc>
          <w:tcPr>
            <w:tcW w:w="4678" w:type="dxa"/>
          </w:tcPr>
          <w:p w:rsidR="00977855" w:rsidRPr="008F0ED0" w:rsidRDefault="00977855">
            <w:pPr>
              <w:pStyle w:val="Signatures"/>
              <w:rPr>
                <w:sz w:val="22"/>
              </w:rPr>
            </w:pPr>
          </w:p>
        </w:tc>
        <w:tc>
          <w:tcPr>
            <w:tcW w:w="895" w:type="dxa"/>
          </w:tcPr>
          <w:p w:rsidR="00977855" w:rsidRPr="008F0ED0" w:rsidRDefault="00977855">
            <w:pPr>
              <w:pStyle w:val="Signatures"/>
              <w:rPr>
                <w:sz w:val="22"/>
              </w:rPr>
            </w:pPr>
          </w:p>
        </w:tc>
        <w:tc>
          <w:tcPr>
            <w:tcW w:w="4892" w:type="dxa"/>
          </w:tcPr>
          <w:p w:rsidR="00977855" w:rsidRPr="008F0ED0" w:rsidRDefault="00977855">
            <w:pPr>
              <w:pStyle w:val="Signatures"/>
              <w:rPr>
                <w:sz w:val="22"/>
              </w:rPr>
            </w:pPr>
          </w:p>
        </w:tc>
      </w:tr>
      <w:tr w:rsidR="00977855" w:rsidRPr="008F0ED0" w:rsidTr="00977855">
        <w:tc>
          <w:tcPr>
            <w:tcW w:w="10465" w:type="dxa"/>
            <w:gridSpan w:val="3"/>
          </w:tcPr>
          <w:p w:rsidR="00977855" w:rsidRPr="008F0ED0" w:rsidRDefault="00977855" w:rsidP="00DF3178">
            <w:pPr>
              <w:pStyle w:val="Signatures"/>
              <w:rPr>
                <w:sz w:val="22"/>
              </w:rPr>
            </w:pPr>
            <w:r w:rsidRPr="008F0ED0">
              <w:rPr>
                <w:sz w:val="22"/>
              </w:rPr>
              <w:t xml:space="preserve">This is to certify that the above is the true action taken by this Board of Hocking County Commissioners at a regular meeting of </w:t>
            </w:r>
            <w:r w:rsidR="00BF1A0F" w:rsidRPr="008F0ED0">
              <w:rPr>
                <w:sz w:val="22"/>
              </w:rPr>
              <w:t xml:space="preserve">the Board held on </w:t>
            </w:r>
            <w:r w:rsidR="00CD2DC8" w:rsidRPr="008F0ED0">
              <w:rPr>
                <w:sz w:val="22"/>
              </w:rPr>
              <w:t xml:space="preserve">September 20, </w:t>
            </w:r>
            <w:r w:rsidR="00BF1A0F" w:rsidRPr="008F0ED0">
              <w:rPr>
                <w:sz w:val="22"/>
              </w:rPr>
              <w:t>2018</w:t>
            </w:r>
            <w:r w:rsidRPr="008F0ED0">
              <w:rPr>
                <w:sz w:val="22"/>
              </w:rPr>
              <w:t>.</w:t>
            </w:r>
          </w:p>
        </w:tc>
      </w:tr>
      <w:tr w:rsidR="00977855" w:rsidRPr="008F0ED0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8F0ED0" w:rsidRDefault="00977855">
            <w:pPr>
              <w:pStyle w:val="Signatures"/>
              <w:rPr>
                <w:sz w:val="22"/>
              </w:rPr>
            </w:pPr>
          </w:p>
        </w:tc>
        <w:tc>
          <w:tcPr>
            <w:tcW w:w="895" w:type="dxa"/>
          </w:tcPr>
          <w:p w:rsidR="00977855" w:rsidRPr="008F0ED0" w:rsidRDefault="00977855">
            <w:pPr>
              <w:pStyle w:val="Signatures"/>
              <w:rPr>
                <w:sz w:val="22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8F0ED0" w:rsidRDefault="00977855">
            <w:pPr>
              <w:pStyle w:val="Signatures"/>
              <w:rPr>
                <w:sz w:val="22"/>
              </w:rPr>
            </w:pPr>
          </w:p>
        </w:tc>
      </w:tr>
      <w:tr w:rsidR="00977855" w:rsidRPr="008F0ED0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8F0ED0" w:rsidRDefault="00BF1A0F">
            <w:pPr>
              <w:pStyle w:val="Signatures"/>
              <w:rPr>
                <w:sz w:val="22"/>
              </w:rPr>
            </w:pPr>
            <w:r w:rsidRPr="008F0ED0">
              <w:rPr>
                <w:sz w:val="22"/>
              </w:rPr>
              <w:t>Rose Marshall</w:t>
            </w:r>
            <w:r w:rsidR="00977855" w:rsidRPr="008F0ED0">
              <w:rPr>
                <w:sz w:val="22"/>
              </w:rPr>
              <w:t>, Clerk</w:t>
            </w:r>
          </w:p>
        </w:tc>
        <w:tc>
          <w:tcPr>
            <w:tcW w:w="895" w:type="dxa"/>
          </w:tcPr>
          <w:p w:rsidR="00977855" w:rsidRPr="008F0ED0" w:rsidRDefault="00977855">
            <w:pPr>
              <w:pStyle w:val="Signatures"/>
              <w:rPr>
                <w:sz w:val="22"/>
              </w:rPr>
            </w:pPr>
          </w:p>
        </w:tc>
        <w:tc>
          <w:tcPr>
            <w:tcW w:w="4892" w:type="dxa"/>
          </w:tcPr>
          <w:p w:rsidR="00977855" w:rsidRPr="008F0ED0" w:rsidRDefault="00F67059">
            <w:pPr>
              <w:pStyle w:val="Signatures"/>
              <w:rPr>
                <w:sz w:val="22"/>
              </w:rPr>
            </w:pPr>
            <w:r w:rsidRPr="008F0ED0">
              <w:rPr>
                <w:sz w:val="22"/>
              </w:rPr>
              <w:t>Jeff Dickerson</w:t>
            </w:r>
            <w:r w:rsidR="00DF3178" w:rsidRPr="008F0ED0">
              <w:rPr>
                <w:sz w:val="22"/>
              </w:rPr>
              <w:t xml:space="preserve">, </w:t>
            </w:r>
            <w:r w:rsidR="00977855" w:rsidRPr="008F0ED0">
              <w:rPr>
                <w:sz w:val="22"/>
              </w:rPr>
              <w:t>President</w:t>
            </w:r>
          </w:p>
        </w:tc>
      </w:tr>
    </w:tbl>
    <w:p w:rsidR="00BF2B03" w:rsidRPr="008F0ED0" w:rsidRDefault="00BF2B03">
      <w:pPr>
        <w:pStyle w:val="Signatures"/>
        <w:tabs>
          <w:tab w:val="clear" w:pos="4680"/>
        </w:tabs>
        <w:rPr>
          <w:sz w:val="22"/>
        </w:rPr>
      </w:pPr>
    </w:p>
    <w:sectPr w:rsidR="00BF2B03" w:rsidRPr="008F0ED0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5B" w:rsidRDefault="0098705B" w:rsidP="00A50895">
      <w:pPr>
        <w:spacing w:before="0" w:after="0"/>
      </w:pPr>
      <w:r>
        <w:separator/>
      </w:r>
    </w:p>
  </w:endnote>
  <w:endnote w:type="continuationSeparator" w:id="0">
    <w:p w:rsidR="0098705B" w:rsidRDefault="0098705B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5B" w:rsidRDefault="0098705B" w:rsidP="00A50895">
      <w:pPr>
        <w:spacing w:before="0" w:after="0"/>
      </w:pPr>
      <w:r>
        <w:separator/>
      </w:r>
    </w:p>
  </w:footnote>
  <w:footnote w:type="continuationSeparator" w:id="0">
    <w:p w:rsidR="0098705B" w:rsidRDefault="0098705B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98705B">
      <w:t>September 20,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05B"/>
    <w:rsid w:val="00000E3B"/>
    <w:rsid w:val="000E0658"/>
    <w:rsid w:val="000E2E99"/>
    <w:rsid w:val="00191651"/>
    <w:rsid w:val="001A5911"/>
    <w:rsid w:val="00212125"/>
    <w:rsid w:val="00231E32"/>
    <w:rsid w:val="002A5D52"/>
    <w:rsid w:val="002D6A9E"/>
    <w:rsid w:val="00362FAC"/>
    <w:rsid w:val="0036328E"/>
    <w:rsid w:val="00393D3C"/>
    <w:rsid w:val="00400C82"/>
    <w:rsid w:val="00466249"/>
    <w:rsid w:val="00534EF3"/>
    <w:rsid w:val="0055732D"/>
    <w:rsid w:val="0072187A"/>
    <w:rsid w:val="00746BB6"/>
    <w:rsid w:val="00892CE1"/>
    <w:rsid w:val="00897F95"/>
    <w:rsid w:val="008C1B8D"/>
    <w:rsid w:val="008F0ED0"/>
    <w:rsid w:val="009454AA"/>
    <w:rsid w:val="00970689"/>
    <w:rsid w:val="00977855"/>
    <w:rsid w:val="0098705B"/>
    <w:rsid w:val="009A6A26"/>
    <w:rsid w:val="00AB2D0C"/>
    <w:rsid w:val="00AD4E51"/>
    <w:rsid w:val="00AD5ACF"/>
    <w:rsid w:val="00B86635"/>
    <w:rsid w:val="00BE1933"/>
    <w:rsid w:val="00BF1A0F"/>
    <w:rsid w:val="00BF2B03"/>
    <w:rsid w:val="00CD2DC8"/>
    <w:rsid w:val="00D147D9"/>
    <w:rsid w:val="00D25C7B"/>
    <w:rsid w:val="00D345E5"/>
    <w:rsid w:val="00D44DF2"/>
    <w:rsid w:val="00DF3178"/>
    <w:rsid w:val="00F2016B"/>
    <w:rsid w:val="00F67059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ED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9-20-2018.dotx</Template>
  <TotalTime>0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2</cp:revision>
  <cp:lastPrinted>2018-09-25T12:22:00Z</cp:lastPrinted>
  <dcterms:created xsi:type="dcterms:W3CDTF">2018-09-25T13:04:00Z</dcterms:created>
  <dcterms:modified xsi:type="dcterms:W3CDTF">2018-09-25T13:04:00Z</dcterms:modified>
  <cp:category>minutes</cp:category>
</cp:coreProperties>
</file>